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71" w:rsidRPr="00070624" w:rsidRDefault="00AB4571" w:rsidP="00070624">
      <w:pPr>
        <w:shd w:val="clear" w:color="auto" w:fill="FFFFFF"/>
        <w:spacing w:before="692" w:after="692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приказу </w:t>
      </w:r>
      <w:r w:rsidR="00070624" w:rsidRPr="00070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5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</w:t>
      </w:r>
      <w:r w:rsidR="00070624" w:rsidRPr="00070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5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070624" w:rsidRPr="00070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070624" w:rsidRPr="00070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E52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16г.</w:t>
      </w:r>
    </w:p>
    <w:p w:rsidR="00AB4571" w:rsidRPr="00070624" w:rsidRDefault="00AB4571" w:rsidP="000706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proofErr w:type="spellStart"/>
      <w:r w:rsidRPr="0007062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Антикоррупционная</w:t>
      </w:r>
      <w:proofErr w:type="spellEnd"/>
      <w:r w:rsidRPr="0007062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политика</w:t>
      </w:r>
    </w:p>
    <w:p w:rsidR="00070624" w:rsidRDefault="00070624" w:rsidP="000706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0624">
        <w:rPr>
          <w:rFonts w:ascii="Times New Roman" w:hAnsi="Times New Roman" w:cs="Times New Roman"/>
          <w:b/>
          <w:sz w:val="24"/>
          <w:szCs w:val="24"/>
          <w:lang w:eastAsia="ru-RU"/>
        </w:rPr>
        <w:t>МБУДО «Захаровская ДШИ»</w:t>
      </w:r>
    </w:p>
    <w:p w:rsidR="00070624" w:rsidRPr="00070624" w:rsidRDefault="00070624" w:rsidP="000706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</w:t>
      </w:r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Понятие, цели и задачи</w:t>
      </w:r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политики</w:t>
      </w:r>
    </w:p>
    <w:p w:rsidR="00AB4571" w:rsidRPr="00CF6E02" w:rsidRDefault="00070624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политика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МБУДО «Захаровская ДШИ»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представляет собой комплекс взаимосвязанных принципов, процедур и конкретных мероприятий, направленных на предупреждение коррупции в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tooltip="Деятельность МОУ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деятельности</w:t>
        </w:r>
        <w:r w:rsidR="004411D2" w:rsidRPr="00CF6E02">
          <w:rPr>
            <w:rFonts w:ascii="Times New Roman" w:hAnsi="Times New Roman" w:cs="Times New Roman"/>
            <w:color w:val="743399"/>
            <w:sz w:val="24"/>
            <w:szCs w:val="24"/>
            <w:lang w:eastAsia="ru-RU"/>
          </w:rPr>
          <w:t xml:space="preserve"> 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МБУДО «Захаровская ДШИ»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(далее – организация).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политика организации (далее –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политика) разработана в соответствии с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Конституция Российской Федерации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Конституцией Российской Федерации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и статьей 13.3 Федерального закона от 25.12.2008 № 273-ФЗ «О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противодействии коррупции».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Целью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является формирование единого подхода к организации работы по предупреждению коррупции.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Задачами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являются: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информирование работников организации о нормативно-правовом обеспечении работы по предупреждению коррупции и ответственности за совершение коррупционных правонарушений;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определение основных принципов работы по предупреждению коррупции в организации;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методическое обеспечение разработки и реализации мер, направленных на профилактику и противодействие коррупции в организации.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должностных лиц организации, ответственных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политики;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ответственности работников за несоблюдение требований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</w:t>
      </w:r>
      <w:r w:rsidR="004411D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Термины и определения</w:t>
      </w:r>
    </w:p>
    <w:p w:rsidR="00AB4571" w:rsidRPr="00CF6E02" w:rsidRDefault="004411D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настоящей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применяются следующие термины и определения: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Антикоррупционная</w:t>
      </w:r>
      <w:proofErr w:type="spellEnd"/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политика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организации;</w:t>
      </w:r>
    </w:p>
    <w:p w:rsidR="00AB4571" w:rsidRPr="00CF6E02" w:rsidRDefault="00423047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tooltip="Аффилированные лица" w:history="1">
        <w:proofErr w:type="spellStart"/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аффилированные</w:t>
        </w:r>
        <w:proofErr w:type="spellEnd"/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лица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физические и юридические лица, способные оказывать влияние на деятельность организации;</w:t>
      </w:r>
    </w:p>
    <w:p w:rsidR="00AB4571" w:rsidRPr="00CF6E02" w:rsidRDefault="00423047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tooltip="Взяточничество" w:history="1">
        <w:proofErr w:type="gramStart"/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взятка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tooltip="Ценные бумаги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ценных бумаг</w:t>
        </w:r>
      </w:hyperlink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, иного имущества либо в виде незаконных оказания ему услуг имущественного характера, предоставления иных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tooltip="Имущественное право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имущественных прав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Закон о противодействии коррупции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– Федеральный закон от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25.12.2008 «О противодействии коррупции»;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законодательство о противодействии коррупции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Федеральный закон 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от 25.12.2008 №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273-ФЗ «О противодействии коррупции», другие федеральные законы, нормативные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1" w:tooltip="Правовые акты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правовые акты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Президента РФ,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2" w:tooltip="Нормы права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нормативные правовые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акты Правительства РФ, нормативные правовые акты иных федеральных органов государственной власти, нормативные правовые акты органов государственной власти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3" w:tooltip="Ярославская обл." w:history="1">
        <w:r w:rsidR="004411D2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Рязан</w:t>
        </w:r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ской области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и муниципальные правовые акты;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комиссия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- комиссия по противодействию коррупции;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коммерческий подкуп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  <w:proofErr w:type="gramEnd"/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конфликт интересов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трудовых (должностных)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(представителем) которой он является;</w:t>
      </w:r>
    </w:p>
    <w:p w:rsidR="00AB4571" w:rsidRPr="00CF6E02" w:rsidRDefault="00423047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tooltip="Контрагенты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контрагент</w:t>
        </w:r>
      </w:hyperlink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коррупция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личная заинтересованность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работника (представителя организации) </w:t>
      </w:r>
      <w:proofErr w:type="gram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аинтересованность работника (представителя организации), связанная с возможностью получения работником (представителем организации) при исполнении трудовых (должностных)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>МБУДО «Захаровская ДШИ»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официальный сайт</w:t>
      </w:r>
      <w:r w:rsidR="004411D2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3564CE" w:rsidRPr="00CF6E02">
        <w:rPr>
          <w:rFonts w:ascii="Times New Roman" w:hAnsi="Times New Roman" w:cs="Times New Roman"/>
          <w:sz w:val="24"/>
          <w:szCs w:val="24"/>
          <w:lang w:val="en-US"/>
        </w:rPr>
        <w:t>zdshi</w:t>
      </w:r>
      <w:proofErr w:type="spellEnd"/>
      <w:r w:rsidR="003564CE" w:rsidRPr="00CF6E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564CE" w:rsidRPr="00CF6E02">
        <w:rPr>
          <w:rFonts w:ascii="Times New Roman" w:hAnsi="Times New Roman" w:cs="Times New Roman"/>
          <w:sz w:val="24"/>
          <w:szCs w:val="24"/>
          <w:lang w:val="en-US"/>
        </w:rPr>
        <w:t>ryazanschool</w:t>
      </w:r>
      <w:proofErr w:type="spellEnd"/>
      <w:r w:rsidR="003564CE" w:rsidRPr="00CF6E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564CE" w:rsidRPr="00CF6E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564CE" w:rsidRPr="00CF6E02">
        <w:rPr>
          <w:rFonts w:ascii="Times New Roman" w:hAnsi="Times New Roman" w:cs="Times New Roman"/>
          <w:sz w:val="24"/>
          <w:szCs w:val="24"/>
        </w:rPr>
        <w:t>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противодействия коррупции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ежегодно утверждаемый руководителем организации документ, устанавливающий перечень намечаемых к выполнению мероприятий, их последовательность, сроки реализации, ответственных исполнителей и ожидаемые результаты, разработанный на основе типового плана противодействия коррупции;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предупреждение коррупции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деятельность организации, направленная на введение элементов корпоративной культуры,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5" w:tooltip="Организационная структура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организационной структуры</w:t>
        </w:r>
      </w:hyperlink>
      <w:r w:rsidRPr="00CF6E02">
        <w:rPr>
          <w:rFonts w:ascii="Times New Roman" w:hAnsi="Times New Roman" w:cs="Times New Roman"/>
          <w:sz w:val="24"/>
          <w:szCs w:val="24"/>
          <w:lang w:eastAsia="ru-RU"/>
        </w:rPr>
        <w:t>, правил и процедур, регламентированных локальными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6" w:tooltip="Акт нормативный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нормативными актами</w:t>
        </w:r>
      </w:hyperlink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организации, обеспечивающих недопущение коррупционных правонарушений, в том числе выявление и последующее устранение причин коррупции;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противодействие коррупции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деятельность федеральных органов государственной власти, органов государственной власти субъектов Российской Федерации,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7" w:tooltip="Органы местного самоуправления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органов местного самоуправления</w:t>
        </w:r>
      </w:hyperlink>
      <w:r w:rsidRPr="00CF6E02">
        <w:rPr>
          <w:rFonts w:ascii="Times New Roman" w:hAnsi="Times New Roman" w:cs="Times New Roman"/>
          <w:sz w:val="24"/>
          <w:szCs w:val="24"/>
          <w:lang w:eastAsia="ru-RU"/>
        </w:rPr>
        <w:t>, институтов гражданского общества, организаций и физических лиц в пределах их полномочий: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="00AB4571"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аботник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- физическое лицо, вступившее в трудовые отношения с организацией;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6E0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руководитель организации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физическое лицо, которое в соответствии с Трудовым кодексом РФ, другими федеральными законами и иными нормативными правовыми актами РФ, законами и иными нормативными правовыми актами 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>Рязан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ской области, нормативными правовыми актами органов местного самоуправления, учредительными документами организации и локальными нормативными актами осуществляет руководство организацией, в том числе выполняет функции ее единоличного исполнительного органа.</w:t>
      </w:r>
      <w:proofErr w:type="gramEnd"/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3.</w:t>
      </w:r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Основные принципы работы</w:t>
      </w:r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предупреждению коррупции в организации</w:t>
      </w:r>
    </w:p>
    <w:p w:rsidR="00AB4571" w:rsidRPr="00CF6E02" w:rsidRDefault="00070624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политика организации основывается на следующих основных принципах: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3.1.1. Принцип соответствия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организации действующему законодательству и общепринятым нормам права.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Конституции РФ, заключенным Российской Федерацией международным договорам, законодательству о противодействии коррупции и иным нормативным правовым актам, применимым к организации.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3.1.2. Принцип личного примера руководства.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3.1.3. Принцип вовлеченности работников.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стандартов и процедур.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3.1.4. Принцип соразмерности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процедур риску коррупции.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8" w:tooltip="Вовлечение" w:history="1">
        <w:r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вовлечения</w:t>
        </w:r>
      </w:hyperlink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организации, ее руководителя и работников в коррупционную деятельность, осуществляется с учетом существующих в деятельности организации коррупционных рисков.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3.1.5. Принцип эффективности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в организации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3.1.6. Принцип ответственности и неотвратимости наказания.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Неотвратимость наказания для руководителя организации и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организации за реализацию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3.1.7. Принцип открытости хозяйственной и иной деятельности.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стандартах и процедурах.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3.1.8. Принцип постоянного контроля и регулярного мониторинга.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Область примен</w:t>
      </w:r>
      <w:r w:rsidR="003564CE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ения </w:t>
      </w:r>
      <w:proofErr w:type="spellStart"/>
      <w:r w:rsidR="003564CE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="003564CE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политики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 круг лиц, попадающих под ее действие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Кругом лиц, попадающих под действие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являются руководитель организации и работники вне зависимости от занимаемой должности и выполняемых функций.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5.</w:t>
      </w:r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Должностные лица организации,</w:t>
      </w:r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ответственные за реализа</w:t>
      </w:r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цию </w:t>
      </w:r>
      <w:proofErr w:type="spellStart"/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политики,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 формируемые</w:t>
      </w:r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19" w:tooltip="Колл" w:history="1">
        <w:r w:rsidRPr="00CF6E02">
          <w:rPr>
            <w:rFonts w:ascii="Times New Roman" w:hAnsi="Times New Roman" w:cs="Times New Roman"/>
            <w:b/>
            <w:sz w:val="24"/>
            <w:szCs w:val="24"/>
            <w:lang w:eastAsia="ru-RU"/>
          </w:rPr>
          <w:t>коллегиальные</w:t>
        </w:r>
      </w:hyperlink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органы организации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5.1.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организации является ответственным за организацию всех мероприятий, направленных на предупреждение коррупции в организации.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5.2.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организации, исходя из установленных задач, специфики деятельности, штатной численности, организационной структуры организации назначает лицо или несколько лиц, ответственных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в пределах их полномочий.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5.3.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обязанности лица (лиц), ответственных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политики: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подготовка рекомендаций для принятия решений по вопросам предупреждения коррупции в организации;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 подготовка предложений, направленных на устранение причин и условий, порождающих риск возникновения коррупции в организации;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разработка и представление на утверждение руководителю организации проектов локальных нормативных актов, направленных на реализацию мер по предупреждению коррупции;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правонарушений, совершенных работниками;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по заполнению и рассмотрению деклараций о конфликте интересов;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контрольно-надзорных и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0" w:tooltip="Правоохранительные органы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правоохранительных органов</w:t>
        </w:r>
      </w:hyperlink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при проведении ими инспекционных проверок деятельности организации по вопросам предупреждения коррупции;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организация мероприятий по вопросам профилактики и противодействия коррупции;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мероприятий по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антикоррупционному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просвещению работников;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индивидуальное консультирование работников;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организации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пропаганды;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5.4.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выявления причин и условий, способствующих возникновению и распространению коррупции;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повышения эффективности функционирования организации за счет снижения рисков проявления коррупции; в организации образуется коллегиальный орган – комиссия по противодействию коррупции.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5.5.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Цели, порядок образования, работы и полномочия комиссии по противодействию коррупции определены Положением о комиссии по противодействию коррупции (Приложение к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политике).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Обязанности </w:t>
      </w:r>
      <w:r w:rsidR="003564CE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работников,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связанные с предупреждением коррупции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6.1.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организации и работники вне зависимости от должности и стажа работы в организации в связи с исполнением своих трудовых обязанностей, возложенных на них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1" w:tooltip="Трудовые договора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трудовым договором</w:t>
        </w:r>
      </w:hyperlink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, должны: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564CE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руководствоваться положениями настоящей </w:t>
      </w:r>
      <w:proofErr w:type="spellStart"/>
      <w:r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и неукоснительно соблюдать ее принципы и требования;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совершить</w:t>
      </w:r>
      <w:proofErr w:type="gram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или участвовать в совершении коррупционного правонарушения в интересах или от имени организации;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незамедлительно информировать непосредственного руководителя, лицо, ответственное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и (или) руководителя организации о случаях склонения работника к совершению коррупционных правонарушений;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незамедлительно информировать непосредственного руководителя, лицо, ответственное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и (или) руководителя организации о ставшей известной работнику информации о случаях совершения коррупционных правонарушений другими работниками;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сообщить непосредственному руководителю или лицу, ответственному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о возможности возникновения либо возникшем конфликте интересов, одной из сторон которого является работник;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7.</w:t>
      </w:r>
      <w:r w:rsidR="00CF6E02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Мероприятия по предупреждению коррупции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7.1.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8.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Внедрение стандартов поведения работников организации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внедрения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стандартов поведения работников, в организации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организации в целом.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8.2.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Общие </w:t>
      </w:r>
      <w:proofErr w:type="gram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и принципы поведения закреплены в Кодексе этики и служебного поведения работников организации (Приложение к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политике).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9.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Выявление и урегулирование конфликта интересов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9.1.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основу работы по урегулированию конфликта интересов в организации положены следующие принципы: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обязательность раскрытия сведений о возможном или возникшем конфликте интересов;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9.2.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 обязан принимать меры по недопущению любой возможности возникновения конфликта интересов.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9.3.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9.4.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Обязанности работников по недопущению возможности возникновения конфликта интересов, порядок предотвращения и (или) урегулирования конфликта интересов в организации установлены Положением о конфликте интересов (Приложение к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политике).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9.5.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о конфликте интересов,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9.6.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10.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Правила обмена деловыми подарками</w:t>
      </w:r>
      <w:r w:rsidR="003564CE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 знаками делового гостеприимства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10.1.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намерена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2" w:tooltip="Вежливость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вежливости</w:t>
        </w:r>
      </w:hyperlink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в ходе хозяйственной и иной деятельности организации.</w:t>
      </w:r>
    </w:p>
    <w:p w:rsidR="00AB4571" w:rsidRPr="00CF6E02" w:rsidRDefault="003564CE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10.2.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исключения нарушения норм законодательства о противодействии коррупции; оказания влияния третьих лиц на деятельность руководителя организации и работников при исполнении ими трудовых обязанностей; минимизации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имиджевых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потерь организации; обеспечения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 определения единых для всех работников организации требований к дарению и принятию деловых подарков, к организации и участию в представительских мероприятиях; минимизации рисков, связанных с возможным злоупотреблением в области подарков, представительских мероприятий в организации действует Регламент обмена деловыми подарками и знаками делового гостеприимства (Приложение к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политике).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11.</w:t>
      </w:r>
      <w:r w:rsidR="00070624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Меры по предупреждению коррупции</w:t>
      </w:r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 взаимодействии с контрагентами</w:t>
      </w:r>
    </w:p>
    <w:p w:rsidR="00AB4571" w:rsidRPr="00CF6E02" w:rsidRDefault="00070624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по предупреждению коррупции при взаимодействии с контрагентами, проводится по следующим направлениям:</w:t>
      </w:r>
    </w:p>
    <w:p w:rsidR="00AB4571" w:rsidRPr="00CF6E02" w:rsidRDefault="00070624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11.1.1.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инициативах.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11.1.2.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(сбор 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участия в коррупционных скандалах и т. п.).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11.1.3.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Распространение среди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организации.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11.1.4.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Включение в договоры, заключаемые с контрагентами, положений о соблюдении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стандартов (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оговорка) (Приложение к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политике).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11.1.5.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Размещение на официальном сайте организации информации о мерах по предупреждению коррупции, предпринимаемых в организации.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12.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Оценка коррупционных рисков организации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12.1.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Целью оценки коррупционных рисков организации являются: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12.1.1.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соответствия реализуемых мер предупреждения коррупции специфике деятельности организации;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12.1.2.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рациональное использование ресурсов, направляемых на проведение работы по предупреждению коррупции;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12.1.3.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конкретных процессов и хозяйственных операций в деятельности организации, при реализации которых наиболее высока вероятность совершения работниками коррупционных правонарушений и преступлений, как в целях получения личной выгоды, так и в целях получения выгоды организацией.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12.2.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рисков, возникающих при реализации функций, разработанных Министерством труда и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3" w:tooltip="Социально-экономическое развитие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социального развития</w:t>
        </w:r>
      </w:hyperlink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РФ с учетом специфики деятельности организации.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13.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proofErr w:type="spellStart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Антикоррупционное</w:t>
      </w:r>
      <w:proofErr w:type="spellEnd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просвещение работников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13.1.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формирования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мировоззрения, нетерпимости к коррупционному поведению, повышения уровня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4" w:tooltip="Правосознание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правосознания</w:t>
        </w:r>
      </w:hyperlink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и правовой культуры работников в организации на плановой основе посредством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образования,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пропаганды и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консультирования осуществляется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13.2.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образование работников осуществляется за счет организации в форме подготовки (переподготовки) и повышения квалификации работников, ответственных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13.3.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пропаганда осуществляется через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5" w:tooltip="Средства массовой информации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средства массовой информации</w:t>
        </w:r>
      </w:hyperlink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, наружную рекламу и иными средствами в целях формирования у работников нетерпимости к коррупционному поведению, воспитания у них чувства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6" w:tooltip="Гражданская ответственность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гражданской ответственности</w:t>
        </w:r>
      </w:hyperlink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13.4.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консультирование осуществляется в индивидуальном порядке лицами, ответственными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в организации.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14.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Внутренний контроль и аудит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14.1.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Осуществление в соотве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тствии с Федеральным законом от 06.12.2011 №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402-ФЗ «О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7" w:tooltip="Бухгалтерский учет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бухгалтерском учете</w:t>
        </w:r>
      </w:hyperlink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» внутреннего контроля хозяйственных операций способствует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профилактике и выявлению коррупционных правонарушений в деятельности организации.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14.2.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14.3.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учитываемые при формировании системы внутреннего контроля и аудита организации: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контроль документирования операций хозяйственной деятельности организации;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14.3.1.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документирования операций хозяйственной </w:t>
      </w:r>
      <w:proofErr w:type="gram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ранее установленного срока и т.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д.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14.3.2.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с учетом обстоятельств - индикаторов неправомерных действий, например: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оплата услуг, характер которых не определен либо вызывает сомнения;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аффилированных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лиц и контрагентов;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закупки или продажи по ценам, значительно отличающимся от </w:t>
      </w:r>
      <w:proofErr w:type="gram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рыночных</w:t>
      </w:r>
      <w:proofErr w:type="gram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сомнительные платежи наличными деньгами.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15.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Сотрудничество с контрольно – надзорными и правоохранительными органами в сфере противодействия коррупции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15.1.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Сотрудничество с контрольно – надзорными и правоохранительными органами является важным показателем действительной приверженности </w:t>
      </w:r>
      <w:proofErr w:type="gram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декларируемым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антикоррупционным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стандартам поведения.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15.2.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правонарушений, о которых организации стало известно.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15.3.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Организация принимает на себя обязательство воздерживаться от каких-либо санкций в отношении работников, сообщивших в контрольно – 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15.4.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Сотрудничество с контрольно – надзорными и правоохранительными органами также осуществляется в форме: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оказания содействия уполномоченным представителям контрольно-надзорных и правоохранительных органов при проведении ими контрольно – надзорных мероприятий в отношении организации по вопросам предупреждения и противодействия коррупции;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15.5.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организации 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15.6.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организации и работники не допускают вмешательства в деятельность должностных лиц контрольно – надзорных и правоохранительных органов.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16.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Ответственность работников</w:t>
      </w:r>
      <w:r w:rsidR="00CF6E02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за несоблюдение требований </w:t>
      </w:r>
      <w:proofErr w:type="spellStart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политики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16.1.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и ее работники должны соблюдать нормы законодательства о противодействии коррупции.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16.2.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организации 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8" w:tooltip="Законы в России" w:history="1">
        <w:r w:rsidR="00AB4571" w:rsidRPr="00CF6E02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законодательства РФ</w:t>
        </w:r>
      </w:hyperlink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, за несоблюдение принципов и требований настоящей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B4571" w:rsidRPr="00CF6E02" w:rsidRDefault="00AB4571" w:rsidP="00CF6E0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17.</w:t>
      </w:r>
      <w:r w:rsidR="00CF6E02"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Порядок пересмотра и внесения изменений</w:t>
      </w:r>
      <w:r w:rsidR="00070624" w:rsidRPr="00CF6E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Антикоррупционную</w:t>
      </w:r>
      <w:proofErr w:type="spellEnd"/>
      <w:r w:rsidRPr="00CF6E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политику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17.1.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осуществляет регулярный мониторинг эффективности реализации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B4571" w:rsidRPr="00CF6E02" w:rsidRDefault="00CF6E02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17.2.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Должностное лицо, ответственное за реализацию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ежегодно готовит отчет о реализации мер по предупреждению коррупции в организации, на основании которого в настоящую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политику могут быть внесены изменения и дополнения.</w:t>
      </w:r>
    </w:p>
    <w:p w:rsidR="005D078A" w:rsidRPr="00CF6E02" w:rsidRDefault="00070624" w:rsidP="00CF6E0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E02">
        <w:rPr>
          <w:rFonts w:ascii="Times New Roman" w:hAnsi="Times New Roman" w:cs="Times New Roman"/>
          <w:sz w:val="24"/>
          <w:szCs w:val="24"/>
          <w:lang w:eastAsia="ru-RU"/>
        </w:rPr>
        <w:t>17.3.</w:t>
      </w:r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Пересмотр принятой </w:t>
      </w:r>
      <w:proofErr w:type="spellStart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B4571" w:rsidRPr="00CF6E02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– правовой формы или организационно </w:t>
      </w:r>
      <w:r w:rsidRPr="00CF6E02">
        <w:rPr>
          <w:rFonts w:ascii="Times New Roman" w:hAnsi="Times New Roman" w:cs="Times New Roman"/>
          <w:sz w:val="24"/>
          <w:szCs w:val="24"/>
          <w:lang w:eastAsia="ru-RU"/>
        </w:rPr>
        <w:t>– штатной структуры организации.</w:t>
      </w:r>
    </w:p>
    <w:sectPr w:rsidR="005D078A" w:rsidRPr="00CF6E02" w:rsidSect="004411D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571"/>
    <w:rsid w:val="00070624"/>
    <w:rsid w:val="003564CE"/>
    <w:rsid w:val="00423047"/>
    <w:rsid w:val="004411D2"/>
    <w:rsid w:val="005D078A"/>
    <w:rsid w:val="00AB4571"/>
    <w:rsid w:val="00CF6E02"/>
    <w:rsid w:val="00E5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4571"/>
  </w:style>
  <w:style w:type="character" w:styleId="a4">
    <w:name w:val="Hyperlink"/>
    <w:basedOn w:val="a0"/>
    <w:uiPriority w:val="99"/>
    <w:semiHidden/>
    <w:unhideWhenUsed/>
    <w:rsid w:val="00AB4571"/>
    <w:rPr>
      <w:color w:val="0000FF"/>
      <w:u w:val="single"/>
    </w:rPr>
  </w:style>
  <w:style w:type="paragraph" w:styleId="a5">
    <w:name w:val="No Spacing"/>
    <w:uiPriority w:val="1"/>
    <w:qFormat/>
    <w:rsid w:val="000706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94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101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077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427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858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727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030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686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352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67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888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743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40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472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588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315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438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8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713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008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893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009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525">
          <w:marLeft w:val="5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44">
          <w:marLeft w:val="4154"/>
          <w:marRight w:val="0"/>
          <w:marTop w:val="2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yatochnichestvo/" TargetMode="External"/><Relationship Id="rId13" Type="http://schemas.openxmlformats.org/officeDocument/2006/relationships/hyperlink" Target="http://pandia.ru/text/category/yaroslavskaya_obl_/" TargetMode="External"/><Relationship Id="rId18" Type="http://schemas.openxmlformats.org/officeDocument/2006/relationships/hyperlink" Target="http://pandia.ru/text/category/vovlechenie/" TargetMode="External"/><Relationship Id="rId26" Type="http://schemas.openxmlformats.org/officeDocument/2006/relationships/hyperlink" Target="http://pandia.ru/text/category/grazhdanskaya_otvetstvennostm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trudovie_dogovora/" TargetMode="External"/><Relationship Id="rId7" Type="http://schemas.openxmlformats.org/officeDocument/2006/relationships/hyperlink" Target="http://pandia.ru/text/category/affilirovannie_litca/" TargetMode="External"/><Relationship Id="rId12" Type="http://schemas.openxmlformats.org/officeDocument/2006/relationships/hyperlink" Target="http://pandia.ru/text/category/normi_prava/" TargetMode="External"/><Relationship Id="rId17" Type="http://schemas.openxmlformats.org/officeDocument/2006/relationships/hyperlink" Target="http://pandia.ru/text/category/organi_mestnogo_samoupravleniya/" TargetMode="External"/><Relationship Id="rId25" Type="http://schemas.openxmlformats.org/officeDocument/2006/relationships/hyperlink" Target="http://pandia.ru/text/category/sredstva_massovoj_informatc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akt_normativnij/" TargetMode="External"/><Relationship Id="rId20" Type="http://schemas.openxmlformats.org/officeDocument/2006/relationships/hyperlink" Target="http://pandia.ru/text/category/pravoohranitelmznie_organ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onstitutciya_rossijskoj_federatcii/" TargetMode="External"/><Relationship Id="rId11" Type="http://schemas.openxmlformats.org/officeDocument/2006/relationships/hyperlink" Target="http://pandia.ru/text/category/pravovie_akti/" TargetMode="External"/><Relationship Id="rId24" Type="http://schemas.openxmlformats.org/officeDocument/2006/relationships/hyperlink" Target="http://pandia.ru/text/category/pravosoznanie/" TargetMode="External"/><Relationship Id="rId5" Type="http://schemas.openxmlformats.org/officeDocument/2006/relationships/hyperlink" Target="http://pandia.ru/text/category/deyatelmznostmz_mou/" TargetMode="External"/><Relationship Id="rId15" Type="http://schemas.openxmlformats.org/officeDocument/2006/relationships/hyperlink" Target="http://pandia.ru/text/category/organizatcionnaya_struktura/" TargetMode="External"/><Relationship Id="rId23" Type="http://schemas.openxmlformats.org/officeDocument/2006/relationships/hyperlink" Target="http://pandia.ru/text/category/sotcialmzno_yekonomicheskoe_razvitie/" TargetMode="External"/><Relationship Id="rId28" Type="http://schemas.openxmlformats.org/officeDocument/2006/relationships/hyperlink" Target="http://pandia.ru/text/category/zakoni_v_rossii/" TargetMode="External"/><Relationship Id="rId10" Type="http://schemas.openxmlformats.org/officeDocument/2006/relationships/hyperlink" Target="http://pandia.ru/text/category/imushestvennoe_pravo/" TargetMode="External"/><Relationship Id="rId19" Type="http://schemas.openxmlformats.org/officeDocument/2006/relationships/hyperlink" Target="http://pandia.ru/text/category/ko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tcennie_bumagi/" TargetMode="External"/><Relationship Id="rId14" Type="http://schemas.openxmlformats.org/officeDocument/2006/relationships/hyperlink" Target="http://pandia.ru/text/category/kontragenti/" TargetMode="External"/><Relationship Id="rId22" Type="http://schemas.openxmlformats.org/officeDocument/2006/relationships/hyperlink" Target="http://pandia.ru/text/category/vezhlivostmz/" TargetMode="External"/><Relationship Id="rId27" Type="http://schemas.openxmlformats.org/officeDocument/2006/relationships/hyperlink" Target="http://pandia.ru/text/category/buhgalterskij_uch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B1625-A655-41A7-918D-100DE503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4348</Words>
  <Characters>24789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2017-05-17T10:44:00Z</cp:lastPrinted>
  <dcterms:created xsi:type="dcterms:W3CDTF">2017-04-04T13:13:00Z</dcterms:created>
  <dcterms:modified xsi:type="dcterms:W3CDTF">2017-05-17T10:48:00Z</dcterms:modified>
</cp:coreProperties>
</file>